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F3756" w14:textId="0BA76259" w:rsidR="00844A7A" w:rsidRPr="00844A7A" w:rsidRDefault="00844A7A" w:rsidP="00844A7A">
      <w:pPr>
        <w:jc w:val="both"/>
        <w:rPr>
          <w:rFonts w:eastAsia="Times New Roman" w:cstheme="minorHAnsi"/>
          <w:b/>
          <w:bCs/>
          <w:color w:val="000000" w:themeColor="text1"/>
          <w:lang w:eastAsia="de-DE"/>
        </w:rPr>
      </w:pPr>
      <w:r w:rsidRPr="00844A7A">
        <w:rPr>
          <w:rFonts w:eastAsia="Times New Roman" w:cstheme="minorHAnsi"/>
          <w:b/>
          <w:bCs/>
          <w:color w:val="000000" w:themeColor="text1"/>
          <w:lang w:eastAsia="de-DE"/>
        </w:rPr>
        <w:t>SUPP4 Kübler index methodological details</w:t>
      </w:r>
    </w:p>
    <w:p w14:paraId="042C3BC2" w14:textId="57BDF079" w:rsidR="00844A7A" w:rsidRPr="00CA4E04" w:rsidRDefault="00844A7A" w:rsidP="00844A7A">
      <w:pPr>
        <w:jc w:val="both"/>
        <w:rPr>
          <w:rFonts w:cstheme="minorHAnsi"/>
          <w:color w:val="000000" w:themeColor="text1"/>
        </w:rPr>
      </w:pPr>
      <w:r w:rsidRPr="00CA4E04">
        <w:rPr>
          <w:rFonts w:eastAsia="Times New Roman" w:cstheme="minorHAnsi"/>
          <w:color w:val="000000" w:themeColor="text1"/>
          <w:lang w:eastAsia="de-DE"/>
        </w:rPr>
        <w:t xml:space="preserve">To analyze the extent of </w:t>
      </w:r>
      <w:proofErr w:type="spellStart"/>
      <w:r w:rsidRPr="00CA4E04">
        <w:rPr>
          <w:rFonts w:eastAsia="Times New Roman" w:cstheme="minorHAnsi"/>
          <w:color w:val="000000" w:themeColor="text1"/>
          <w:lang w:eastAsia="de-DE"/>
        </w:rPr>
        <w:t>illitisation</w:t>
      </w:r>
      <w:proofErr w:type="spellEnd"/>
      <w:r w:rsidRPr="00CA4E04">
        <w:rPr>
          <w:rFonts w:eastAsia="Times New Roman" w:cstheme="minorHAnsi"/>
          <w:color w:val="000000" w:themeColor="text1"/>
          <w:lang w:eastAsia="de-DE"/>
        </w:rPr>
        <w:t xml:space="preserve"> in a </w:t>
      </w:r>
      <w:proofErr w:type="spellStart"/>
      <w:r w:rsidRPr="00CA4E04">
        <w:rPr>
          <w:rFonts w:eastAsia="Times New Roman" w:cstheme="minorHAnsi"/>
          <w:color w:val="000000" w:themeColor="text1"/>
          <w:lang w:eastAsia="de-DE"/>
        </w:rPr>
        <w:t>claystones</w:t>
      </w:r>
      <w:proofErr w:type="spellEnd"/>
      <w:r w:rsidRPr="00CA4E04">
        <w:rPr>
          <w:rFonts w:eastAsia="Times New Roman" w:cstheme="minorHAnsi"/>
          <w:color w:val="000000" w:themeColor="text1"/>
          <w:lang w:eastAsia="de-DE"/>
        </w:rPr>
        <w:t xml:space="preserve"> and other types of argillaceous rock, the X-ray diffraction based Kübler index (KI), also referred to as “</w:t>
      </w:r>
      <w:proofErr w:type="spellStart"/>
      <w:r w:rsidRPr="00CA4E04">
        <w:rPr>
          <w:rFonts w:eastAsia="Times New Roman" w:cstheme="minorHAnsi"/>
          <w:color w:val="000000" w:themeColor="text1"/>
          <w:lang w:eastAsia="de-DE"/>
        </w:rPr>
        <w:t>illite</w:t>
      </w:r>
      <w:proofErr w:type="spellEnd"/>
      <w:r w:rsidRPr="00CA4E04">
        <w:rPr>
          <w:rFonts w:eastAsia="Times New Roman" w:cstheme="minorHAnsi"/>
          <w:color w:val="000000" w:themeColor="text1"/>
          <w:lang w:eastAsia="de-DE"/>
        </w:rPr>
        <w:t xml:space="preserve"> crystallinity” (IC), is commonly used</w:t>
      </w:r>
      <w:r w:rsidRPr="00CA4E04">
        <w:rPr>
          <w:rFonts w:cstheme="minorHAnsi"/>
          <w:color w:val="000000" w:themeColor="text1"/>
        </w:rPr>
        <w:t xml:space="preserve"> (Kübler (1964, 1967, CMS 2020)</w:t>
      </w:r>
      <w:r w:rsidRPr="00CA4E04">
        <w:rPr>
          <w:rFonts w:eastAsia="Times New Roman" w:cstheme="minorHAnsi"/>
          <w:color w:val="000000" w:themeColor="text1"/>
          <w:lang w:eastAsia="de-DE"/>
        </w:rPr>
        <w:t xml:space="preserve">. </w:t>
      </w:r>
      <w:r w:rsidRPr="00CA4E04">
        <w:rPr>
          <w:rFonts w:cstheme="minorHAnsi"/>
          <w:color w:val="000000" w:themeColor="text1"/>
        </w:rPr>
        <w:t xml:space="preserve">The KI was originally introduced to support hydrocarbon exploration by defining the </w:t>
      </w:r>
      <w:proofErr w:type="spellStart"/>
      <w:r w:rsidRPr="00CA4E04">
        <w:rPr>
          <w:rFonts w:cstheme="minorHAnsi"/>
          <w:color w:val="000000" w:themeColor="text1"/>
        </w:rPr>
        <w:t>anchimetamorphic</w:t>
      </w:r>
      <w:proofErr w:type="spellEnd"/>
      <w:r w:rsidRPr="00CA4E04">
        <w:rPr>
          <w:rFonts w:cstheme="minorHAnsi"/>
          <w:color w:val="000000" w:themeColor="text1"/>
        </w:rPr>
        <w:t xml:space="preserve"> zone, which marks the transition at ca. 150 – 300°C between late diagenesis and </w:t>
      </w:r>
      <w:proofErr w:type="spellStart"/>
      <w:r w:rsidRPr="00CA4E04">
        <w:rPr>
          <w:rFonts w:cstheme="minorHAnsi"/>
          <w:color w:val="000000" w:themeColor="text1"/>
        </w:rPr>
        <w:t>epimetamorphism</w:t>
      </w:r>
      <w:proofErr w:type="spellEnd"/>
      <w:r w:rsidRPr="00CA4E04">
        <w:rPr>
          <w:rFonts w:cstheme="minorHAnsi"/>
          <w:color w:val="000000" w:themeColor="text1"/>
        </w:rPr>
        <w:t xml:space="preserve"> (Kübler &amp; Goy-</w:t>
      </w:r>
      <w:proofErr w:type="spellStart"/>
      <w:r w:rsidRPr="00CA4E04">
        <w:rPr>
          <w:rFonts w:cstheme="minorHAnsi"/>
          <w:color w:val="000000" w:themeColor="text1"/>
        </w:rPr>
        <w:t>Eggenberger</w:t>
      </w:r>
      <w:proofErr w:type="spellEnd"/>
      <w:r w:rsidRPr="00CA4E04">
        <w:rPr>
          <w:rFonts w:cstheme="minorHAnsi"/>
          <w:color w:val="000000" w:themeColor="text1"/>
        </w:rPr>
        <w:t xml:space="preserve">, 2020). The IC method uses the Full-width-at-half-maximum (FWHM) parameter of the basal 001 (10-Å with Cu radiation) </w:t>
      </w:r>
      <w:proofErr w:type="spellStart"/>
      <w:r w:rsidRPr="00CA4E04">
        <w:rPr>
          <w:rFonts w:cstheme="minorHAnsi"/>
          <w:color w:val="000000" w:themeColor="text1"/>
        </w:rPr>
        <w:t>illite</w:t>
      </w:r>
      <w:proofErr w:type="spellEnd"/>
      <w:r w:rsidRPr="00CA4E04">
        <w:rPr>
          <w:rFonts w:cstheme="minorHAnsi"/>
          <w:color w:val="000000" w:themeColor="text1"/>
        </w:rPr>
        <w:t xml:space="preserve">/muscovite reflection of the separated clay-sized fraction, which becomes sharper (i.e. smaller IC values indicating enhanced “crystallinity”) with increasing grades of late diagenesis and metamorphism. This parameter reflects a combination of crystallographic effects, where improved </w:t>
      </w:r>
      <w:proofErr w:type="spellStart"/>
      <w:r w:rsidRPr="00CA4E04">
        <w:rPr>
          <w:rFonts w:cstheme="minorHAnsi"/>
          <w:color w:val="000000" w:themeColor="text1"/>
        </w:rPr>
        <w:t>illite</w:t>
      </w:r>
      <w:proofErr w:type="spellEnd"/>
      <w:r w:rsidRPr="00CA4E04">
        <w:rPr>
          <w:rFonts w:cstheme="minorHAnsi"/>
          <w:color w:val="000000" w:themeColor="text1"/>
        </w:rPr>
        <w:t xml:space="preserve"> “crystallinity” is primarily associated with decreasing interlayered smectite and increasing mean crystallite thicknesses, but may be influenced by lattice strain and layer stacking effects (CMS 2020)</w:t>
      </w:r>
      <w:r w:rsidRPr="00CA4E04">
        <w:rPr>
          <w:rFonts w:eastAsia="Times New Roman" w:cstheme="minorHAnsi"/>
          <w:color w:val="000000" w:themeColor="text1"/>
          <w:lang w:eastAsia="de-DE"/>
        </w:rPr>
        <w:t>. As the IC value</w:t>
      </w:r>
      <w:r w:rsidRPr="00CA4E04">
        <w:rPr>
          <w:rFonts w:cstheme="minorHAnsi"/>
          <w:color w:val="000000" w:themeColor="text1"/>
        </w:rPr>
        <w:t xml:space="preserve"> is highly dependent on parameters such as XRD instrumental setting and the sample preparation procedures, the method requires calibration using appropriate standards (Warr &amp; </w:t>
      </w:r>
      <w:proofErr w:type="spellStart"/>
      <w:r w:rsidRPr="00CA4E04">
        <w:rPr>
          <w:rFonts w:cstheme="minorHAnsi"/>
          <w:color w:val="000000" w:themeColor="text1"/>
        </w:rPr>
        <w:t>Ferreiro</w:t>
      </w:r>
      <w:proofErr w:type="spellEnd"/>
      <w:r w:rsidRPr="00CA4E04">
        <w:rPr>
          <w:rFonts w:cstheme="minorHAnsi"/>
          <w:color w:val="000000" w:themeColor="text1"/>
        </w:rPr>
        <w:t xml:space="preserve"> </w:t>
      </w:r>
      <w:proofErr w:type="spellStart"/>
      <w:r w:rsidRPr="00CA4E04">
        <w:rPr>
          <w:rFonts w:cstheme="minorHAnsi"/>
          <w:color w:val="000000" w:themeColor="text1"/>
        </w:rPr>
        <w:t>Mählmann</w:t>
      </w:r>
      <w:proofErr w:type="spellEnd"/>
      <w:r w:rsidRPr="00CA4E04">
        <w:rPr>
          <w:rFonts w:cstheme="minorHAnsi"/>
          <w:color w:val="000000" w:themeColor="text1"/>
        </w:rPr>
        <w:t xml:space="preserve"> 2015; Warr, 2018). No universal relation exists between the extent of </w:t>
      </w:r>
      <w:proofErr w:type="spellStart"/>
      <w:r w:rsidRPr="00CA4E04">
        <w:rPr>
          <w:rFonts w:cstheme="minorHAnsi"/>
          <w:color w:val="000000" w:themeColor="text1"/>
        </w:rPr>
        <w:t>illitisation</w:t>
      </w:r>
      <w:proofErr w:type="spellEnd"/>
      <w:r w:rsidRPr="00CA4E04">
        <w:rPr>
          <w:rFonts w:cstheme="minorHAnsi"/>
          <w:color w:val="000000" w:themeColor="text1"/>
        </w:rPr>
        <w:t xml:space="preserve"> and burial depths and/or temperature owing to the controlling influence of potassium availability and other geochemical parameters (e.g. pH). Such relationships, however, can be established for specific basins (e.g. Elliot &amp; </w:t>
      </w:r>
      <w:proofErr w:type="spellStart"/>
      <w:r w:rsidRPr="00CA4E04">
        <w:rPr>
          <w:rFonts w:cstheme="minorHAnsi"/>
          <w:color w:val="000000" w:themeColor="text1"/>
        </w:rPr>
        <w:t>Matisoff</w:t>
      </w:r>
      <w:proofErr w:type="spellEnd"/>
      <w:r w:rsidRPr="00CA4E04">
        <w:rPr>
          <w:rFonts w:cstheme="minorHAnsi"/>
          <w:color w:val="000000" w:themeColor="text1"/>
        </w:rPr>
        <w:t>, 1996).</w:t>
      </w:r>
    </w:p>
    <w:p w14:paraId="0C5E41CE" w14:textId="77777777" w:rsidR="00FA4484" w:rsidRDefault="00FA4484"/>
    <w:sectPr w:rsidR="00FA448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7A"/>
    <w:rsid w:val="00844A7A"/>
    <w:rsid w:val="008C4FE3"/>
    <w:rsid w:val="00901259"/>
    <w:rsid w:val="00FA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3009"/>
  <w15:chartTrackingRefBased/>
  <w15:docId w15:val="{ED1252BD-560C-4D25-9C26-3FB8FA6C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4A7A"/>
    <w:rPr>
      <w:kern w:val="0"/>
      <w:lang w:val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44A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de-DE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44A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de-DE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4A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de-DE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4A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:lang w:val="de-DE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4A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:lang w:val="de-DE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4A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de-DE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4A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de-DE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4A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de-DE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4A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de-DE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4A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44A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4A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4A7A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4A7A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4A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4A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4A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4A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44A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844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4A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DE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4A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44A7A"/>
    <w:pPr>
      <w:spacing w:before="160"/>
      <w:jc w:val="center"/>
    </w:pPr>
    <w:rPr>
      <w:i/>
      <w:iCs/>
      <w:color w:val="404040" w:themeColor="text1" w:themeTint="BF"/>
      <w:kern w:val="2"/>
      <w:lang w:val="de-DE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844A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44A7A"/>
    <w:pPr>
      <w:ind w:left="720"/>
      <w:contextualSpacing/>
    </w:pPr>
    <w:rPr>
      <w:kern w:val="2"/>
      <w:lang w:val="de-DE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844A7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4A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:lang w:val="de-DE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4A7A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44A7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1427</Characters>
  <Application>Microsoft Office Word</Application>
  <DocSecurity>0</DocSecurity>
  <Lines>11</Lines>
  <Paragraphs>3</Paragraphs>
  <ScaleCrop>false</ScaleCrop>
  <Company>Geozentrum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Kaufhold, Stephan</dc:creator>
  <cp:keywords/>
  <dc:description/>
  <cp:lastModifiedBy>Kaufhold, Stephan</cp:lastModifiedBy>
  <cp:revision>1</cp:revision>
  <dcterms:created xsi:type="dcterms:W3CDTF">2026-02-27T12:52:00Z</dcterms:created>
  <dcterms:modified xsi:type="dcterms:W3CDTF">2026-02-27T12:53:00Z</dcterms:modified>
</cp:coreProperties>
</file>